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обратилась в арбитражный суд с ходатайством о завершении процедуры реализации имущества должника. Определением Арбитражного суда Белгородской области от 16.04.2019, оставленным без изменения постановлением Девятнадцатого арбитражного апелляционного суда от 13.06.2019 и постановлением Арбитражного суда Центрального округа от 27.08.2019, завершена процедура реализации имущества должника, должник освобожден от дальнейшего исполнения требований кредиторов, в том числе кредиторов, не заявивших свои требования. В кассационной жалобе ФИО2 просит судебные акты отменить, ссылаясь на нарушение судами норм права. Заявитель не согласен с применением в отношении должника правила освобождения от дальнейшего исполнения требований кредиторов.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руководствовались статьями 134, 213.9, 213.24, 213.27-213.29 Федерального закона от 26.10.2002 № 127-ФЗ «О несостоятельности (банкротстве)» и правомерности применения в отношении должника правила освобождения от дальнейшего исполнения требований кредиторов. Доводы кассационной жалобы сводятся к изложению обстоятельств дела, которые были предметом исследования и оценки судов, что не свидетельствует о допущенных ими нарушениях норм материального и процессуального права.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АО "Бинбанк Диджитал" (подробнее) НАО "Первое коллекторское бюро" (подробнее) ОАО "Акционерный банк "Пушкино" (подробнее) ООО "Национальная служба взыскания" (подробнее) ООО "Эос" (подробнее) ПАО Белгородской отделение №8592 Сбербанк (подробнее) УФНС по Белгородской области (подробнее) Иные лица: СОЮЗ "УРАЛЬСКАЯ САМОРЕГУЛИРУЕМАЯ ОРГАНИЗАЦИЯ АРБИТРАЖНЫХ УПРАВЛЯЮЩИХ" (подробнее) Управление Федеральной налоговой службы по Белгородской области (подробнее) Управление Федеральной службы государственной регистрации, кадастра и картографии по Белгородской области (подробнее) УФССП России по Белгородской области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