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14.03.2019, оставленным без изменения постановлением Девятого арбитражного апелляционного суда от 02.07.2019 и постановлением Арбитражного суда Московского округа от 03.09.2019, Трантиной С.В. отказано во включении её требований в размере 171 165 490,35 руб. основного долга, 1 481 871,09 руб. процентов за пользование займом с 02.04.2017 по 19.06.2017, 66 000 руб. госпошлины, 823 001,19 руб. процентов за пользование чужими денежными средствами в третью очередь реестра требований кредиторов должника. В кассационной жалобе Трантина С.В. просила судебные акты отменить, ссылаясь на нарушение судами норм права. По результатам изучения принятых по делу судебных актов и доводов, содержащихся в кассационной жалобе, установлено, что предусмотренные статьей 291.6 Арбитражного процессуального кодекса Российской Федерации основания для передачи жалобы для рассмотрения в судебном заседании 2 Судебной коллегии по экономическим спорам Верховного Суда Российской Федерации отсутствуют. Рассматривая спор, суды руководствовались статьями 2, 71, 100, 142 Федерального закона от 26.10.2002 № 127-ФЗ «О несостоятельности (банкротстве)», статьями 10, 170, 810 Гражданского кодекса Российской Федерации и исходили из того, что действия Трантиной С.В. являлись докапитализацией должника и совместно с иными аффилированными лицами были направлены в том числе на получение контроля над процедурой банкротства должника в ущерб независимым кредиторам и самому должнику, что не отвечает стандартам добросовестного и разумного осуществления гражданских прав и не подлежит судебной защите.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С.В. Самуйлов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