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Тамбовской области от 11.06.2019 заявленные требования удовлетворены. Постановлением Арбитражного суда Центрального округа от 08.10.2019 решение суда первой инстанции отменено, в удовлетворении заявленного требования отказано. 2 Горовенко А.В. просит отменить постановление суда округа, считая его незаконным и необоснованным. По смыслу положений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Поскольку в настоящее время срок давности привлечения предприятия к административной ответственности за вмененное правонарушение истек, а после истечения указанного срока привлечение к административной ответственности является недопустимым, изложенные в жалобе доводы не могут служить достаточным основанием для передачи жалобы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производства, поскольку это не приведет к восстановлению нарушенных прав и интересов Горовенко А.В. Вопрос наличия (отсутствия) оснований для возмещения вреда в любом случае не может быть рассмотрен в рамках рассматриваемого спора. Таким образом,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