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10.04.2019, оставленным без изменения постановлением Девятнадцатого арбитражного апелляционного суда от 07.06.2019, в удовлетворении требований отказано. Постановлением Арбитражного суда Центрального округа от 26.09.2019 указанные судебные акты оставлены без изменения. Блохин А.В. в кассационной жалобе просит отменить принятые по делу судебные акты, считая их незаконными и необоснованными. При изучении доводов жалобы оснований для удовлетворения жалобы не установлено. Суды признали, что судебный пристав-исполнитель в рамках исполнительных производств в отношении взыскателя не вынес и не направил в адрес банка постановление об обращении взыскания на денежные средства должника для взыскания первоочередных задолженностей по заработной плате, что подтверждено решением суда общей юрисдикции.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установленных судами обстоятельствах доводов о том, как возбуждение административного дела в отношении банка повлияет на восстановлении прав заявителя, в жалобе не приведено. Вопрос наличия (отсутствия) оснований для возмещения вреда в любом случае не может быть рассмотрен в рамках рассматриваемого спора. 3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