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акционерные общества «Негосударственный пенсионный фонд «Первый национальный пенсионный фонд», «Негосударственный пенсионный фонд «МЕЧЕЛ-ФОНД», «Негосударственный пенсионный фонд металлургов», «Негосударственный Пенсионный Фонд «Торгово-промышленный пенсионный фонд», «Негосударственный пенсионный фонд «Уральский финансовый дом» и «Негосударственный пенсионный фонд «Церих» (далее – Фонды) обратились в Арбитражный суд города Москвы с иском к Банку «Траст» (ПАО), ПАО «Петрарко» о признании недействительной сделки по выдаче 29.01.2016 независимой гарантии ПАО «Петрарко» в пользу АО «РОСТ БАНК» в обеспечение исполнения обязательств по договору купли-продажи ценных бумаг от 04.12.2015, применении последствий недействительности сделки в виде передачи в собственность ПАО «Петрарко» 199 387 обыкновенных бездокументарных акций ЗАО «Уралнефтегазпром», принадлежавших АО «РОСТ БАНК»; признании недействительным договора залога акций от 04.08.2016 между ПАО «Петрарко» и АО «РОСТ БАНК», применении последствий недействительности сделки в виде аннулирования записи об обременении заложенных ценных бумаг на лицевом счете ПАО «Петрарко» (залогодатель) и записи о залоге по счету АО «РОСТ БАНК» (залогодержатель); признании недействительным залога доли в уставном капитале от 15.07.2016 между ПАО «Петрарко» и АО «РОСТ БАНК», применении последствий недействительности сделки в виде погашения регистрационной записи о залоге № 2165658346555 от 22.07.2016. Решением Арбитражного суда города Москвы от 09.01.2019, оставленным без изменения постановлением Девятого арбитражного апелляционного суда от 08.05.2019 и постановлением Арбитражного суда Московского округа от 14.08.2019,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заявители указывают, что возможность погашения задолженности перед Фондами напрямую связана с эффективностью деятельности ПАО «Петрарко», которое передало по спорным сделкам в залог ликвидное имущество.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истцы указали, что они являются кредиторами ООО «ДельтаФинанс» и ООО «УНГП-Финанс», которым в свою очередь, принадлежат акции ПАО «Петрарко» (48,62% и 24,85% соответственно). При анализе прав требования к ООО «Дельта-Финанс» и ООО «УНГП-Финанс» и перспектив погашения задолженности был сделан вывод о том, что основным ликвидным активом данных юридических лиц являются акции ПАО «Петрарко». Вместе с тем, поскольку на основании оспариваемых договор передано в залог и обременено ликвидное имущество, то истцы полагают, что имеются основания для признания сделок недействительными. Исследовав и оценив по правилам статьи 71 АПК РФ представленные доказательства, руководствуясь статьями 166 , 168 , 174 Гражданского кодекса Российской Федерации, пунктом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недоказанности причинения истцам ущерба оспариваемыми сделками, и правомерно отметив, указав, что истцы не являются стороной спорных договоров, не имеют отношения к управлению ПАО «Петрарко», поскольку не являются акционерами данного юридического лица.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акционерных обществ «Негосударственный пенсионный фонд «Первый национальный пенсионный фонд», «Негосударственный пенсионный фонд «МЕЧЕЛ-ФОНД», «Негосударственный пенсионный фонд металлургов», «Негосударственный Пенсионный Фонд «Торгово-промышленный пенсионный фонд», «Негосударственный пенсионный фонд «Уральский финансовый дом» и «Негосударственный пенсионный фонд «Церих»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НПФ МЕТАЛЛУРГОВ В ЛИЦЕ ГК АГЕНТСТВО ПО СТРАХОВАНИЮ ВКЛАДОВ (подробнее) АО НПФ МЕЧЕЛ ФОНД В ЛИЦЕ ГК АГЕНТСТВО ПО СТРАХОВАНИЮ ВКЛАДОВ (подробнее) АО "НПФ "Первый национальный пенсионный фонд" в лице ГК "АСВ" (подробнее) АО НПФ ТПП ФОНД В ЛИЦЕ ГК АГЕНТСТВО ПО СТРАХОВАНИЮ ВКЛАДОВ (подробнее) АО НПФ УРАЛ ФД В ЛИЦЕ ГК АГЕНТСТВО ПО СТРАХОВАНИЮ ВКЛАДОВ (подробнее) АО НПФ ЦЕРИХ В ЛИЦЕ ГК АСВ (подробнее) ГК "Агентство по страхованию вкладов" (подробнее) ЛИКВИДАТОР АО 1-Й НПФ ГК АСВ (подробнее) Ответчики: АО "РОСТ БАНК" (подробнее) ПАО "Петрарко" (подробнее) Иные лица: ПАО Банк ТРАСТ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