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Челябинской области от 31.01.2019, оставленным без изменения постановлением Восемнадцатого арбитражного 2 апелляционного суда от 09.04.2019, в удовлетворении заявленного требования отказано. Постановлением Арбитражного суда Уральского округа от 15.08.2019 указанные судебные акты оставлены без изменения. В кассационной жалобе, поступившей в Верховный Суд Российской Федерации, общество просит отменить названные судебные акты, считая их принятыми с существенным нарушением норм материального и процессуального права.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изложенные в жалобе доводы и принятые по делу судебные акты,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Федерации. Как следует из судебных актов, основанием для доначисления оспариваемых сумм налогов послужили выводы налогового органа о создании налогоплательщиком формального документооборота по сделкам приобретения проектных работ у ООО «СПС» с целью увеличения расходов по налогу на прибыль и получения права на вычеты по налогу на добавленную стоимость. Отказывая в удовлетворении требования, суды руководствовались положениями статей 169, 171, 172, 247, 252 Налогового кодекса Российской Федерации, с учетом правовой позиции, изложенной в Постановлении Пленума Высшего Арбитражного Суда Российской Федерации от 12.10.2006 № 53 «Об 3 оценке арбитражными судами обоснованности получения налогоплательщиком налоговой выгоды». При этом суды исходили из того, что представленные налогоплательщиком первичные документы содержат недостоверные сведения, у контрагента отсутствовала возможность реального осуществления сделок по разработке проектной документации. Доводы кассационной жалобы были предметом исследования судов и получили исчерпывающую правовую оценку применительно к установленным обстоятельствам, не согласиться с которой оснований не имеется. Указанные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