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Молочков А.В. обратился в арбитражный суд с заявлением о включении в реестр требования кредиторов должника требования в размере 865 290,62 руб. Определением суда 04.03.2019, оставленным без изменения постановлением Первого арбитражного апелляционного суда от 27.05.2019, заявление удовлетворено. Постановлением суда округа от 11.09.2019 определение суда первой инстанции и постановление суда апелляционной инстанций отменены, обособленный спор направлен в Арбитражный суд Владимирской области на новое рассмотрение. В кассационной жалобе Молочков А.В. просит постановление суда округа отменить, ссылаясь на нарушение судом норм права. В соответствии с частью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не усматривается.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актов, принятых судами первой и апелляционной инстанций, правильности применения норм материального права и норм процессуального права, а также соответствие выводов арбитражных судов о применении норм права установленным ими по делу обстоятельствам и имеющимся в деле доказательствам. Направляя обособленный спор на новое рассмотрение, суд кассационной инстанции не разрешил его по существу, указав на необходимость дополнительного исследования доказательств с целью правильного применения норм права. При новом рассмотрении дела заявитель не лишен возможности изложить свои доводы и представить соответствующие доказательства. На основании изложенного,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