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первой инстанции решением от 22.10.2018, оставленным в силе судами апелляционной инстанции и округа, иск удовлетворил. В кассационной жалобе, поданной в Верховный Суд Российской Федерации, товарищество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Разрешая спор, суды руководствовались положениями статей 309 , 310 , 330 , 539 - 548 Гражданского кодекса Российской Федерации, Правилами,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утвержденными постановлением Правительства Российской Федерации от 14.02.2012 № 124,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и исходили из установленного факта поставки энергоресурса в спорный период и отсутствия доказательств его полной и своевременной оплаты ответчиком при соответствующей обязанности последнего. Расчет задолженности проверен судами и признан верным с учетом действовавшего в спорные периоды нормативно-правового регулирования в области энергоснабжения. Оснований для несогласия с указанными выводами не имеется. Возражения заявителя, изложенные в настоящей кассационной жалобе, направлены на переоценку доказательств, являлись предметом рассмотрения судов нижестоящих инстанций и мотивированно ими отклонены.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представлено. Руководствуясь статьями 291.6 ,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"ИТА-ЭЛ" (подробнее) Ответчики: ТСЖ " К-35 "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