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положений статьи 102 Арбитражного процессуального кодекса Российской Федерации, пункта 2 статьи 333.22 Налогового кодекса Российской Федерации, учитывая разъяснения, данные в пункте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пошлине», при наличии соответствующего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суд, ходатайство о предоставлении отсрочки ее уплаты подлежит удовлетворению. На основании изложенного, руководствуясь статьями 102 , 184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удовлетворить. Предоставить отсрочку уплаты государственной пошлины в размере 3000 руб. сроком до окончания производства по настоящей кассационной жалобе. Судья С.В. Самуйлов Суд: Верховный Суд РФ (подробнее) Истцы: ООО К/У "Холмогорское ЖКХ" (подробнее) ООО "Холмогорское ЖКХ" (подробнее) Ответчики: Администрация муниципального образования "Матигорское" (подробнее) Судьи дела: Самуйлов С.В. (судья) (подробнее) Последние документы по делу: Определение от 10 декабря 2019 г. по делу № А05-15223/2018 Определение от 11 октября 2019 г. по делу № А05-15223/2018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