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04.03.2019, оставленным без изменения постановлением Тринадцатого арбитражного апелляционного суда от 19.09.2019, заявленные требования удовлетворены. В жалобе административный орган просит отменить указанные судебные акты, ссылаясь на неправильное, по его мнению, применение судами норм материального права.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привлечения к ответственности послужил выявленный административным органом факт отсутствия в транспортном средстве (автобусе) информации о водителе и месте расположения огнетушителей, выполненной крупным шрифтом и с применением рельефно-точечного шрифта Брайля. Частью 1 статьи 14.8 Кодекса Российской Федерации об административных правонарушениях предусмотрена административная ответственность за нарушение права потребителя на получение необходимой и достоверной информации о реализуемом товаре (работе, услуге), об изготовителе, о продавце, об исполнителе и о режиме их работы. Признавая постановление по делу об административном правонарушении незаконным, суды исходили из недоказанности административным органом состава правонарушения, ответственность за совершение которого предусмотрена статьей 14.8 Кодекса Российской Федерации об административных правонарушениях. При этом суды исходили из того, что административный орган связывает отсутствие вышеуказанной информации в транспортном средстве с нарушением единых требований по транспортному обслуживанию лиц с ограничениями жизнедеятельности, что не способствует повышению доступности социальных, инженерных и транспортных объектов для указанных групп населения с использованием транспорта, а не с нарушением прав конкретного потребителя на получение необходимой и достоверной информации. Поскольку все юридически значимые обстоятельства при рассмотрении дела об административном нарушении, имеющие существенное значение для разрешения спора, установлены судом на основании полного и всестороннего исследования имеющихся в деле доказательств, которым дана оценка, оснований для удовлетворения жалобы и отмены или изменения обжалуемых судебных актов не имеется.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АО "Третий парк" (подробнее) Ответчики: Управление Федеральной службы по надзору в сфере защиты прав потребителей и благополучия человека по городу Санкт-Петербургу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