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02.12.2019 направил в Верховный Суд Российской Федерации кассационную жалобу и одновременно заявил ходатайство о восстановлении пропущенного срока. В обоснование ходатайства указывает на ожидание результатов рассмотрения спора и вынесения Верховным Судом Российской Федерации судебного акта по делу с аналогичными обстоятельствами.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поскольку оспаривание в суде постановлений административного органа, вынесенных по аналогичным обстоятельствам, не свидетельствует о невозможности обращения с кассационной жалобой по настоящему делу в установленный срок. В соответствии с частью 2 статьи 9 Кодекса лица, участвующие в деле, несут риск наступления последствий совершения или не совершения ими процессуальных действий.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Комитета по тарифам Санкт-Петербурга о восстановлении пропущенного срока отказать, кассационную жалобу возвратить заявителю. Судья Верховного Суда А.Г. ПершутовРоссийской Федерации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