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03.06.2019, оставленным без изменения постановлением Первого арбитражного апелляционного суда от 11.07.2019, производство по делу прекращено на основании пункта 1 части 1 статьи 150 Арбитражного процессуального кодекса Российской Федерации. Постановлением Арбитражного суда Волго-Вятского округа от 13.09.2019 указанные судебные акты оставлены без изменения. Предприниматель в жалобе просит названные судебные акты отменить, считая, что дело относится к компетенции арбитражного суда. Исходя из доводов жалобы оснований для удовлетворения указанной жалобы не установлено. Руководствуясь положениями части 1 статьи 27 , пункта 3 части 1 статьи 29 Арбитражного процессуального кодекса Российской Федерации, части 3 статьи 30.1 Кодекса Российской Федерации об административных правонарушениях, учитывая разъяснения пункта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суды пришли к выводу о том, что настоящий спор не подлежит рассмотрению в арбитражном суде. При этом суды исходили из того, что правоотношения возникли в рамках дела об административном правонарушении, рассмотрение которого не отнесено к компетенции арбитражного суда, следовательно, дело об оспаривании действий (бездействия) органов государственной власти, совершенных в рамках такого дела об административном правонарушении, также не подлежит рассмотрению в арбитражном суде.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Сведений о том, что предприниматель обращался с аналогичными требованиями в суд общей юрисдикции, который отказался рассматривать указанный спор из-за отсутствия компетенции, не представлено, в связи с чем у заявителя имеется возможность реализовать гарантированное статьей 46 Конституции Российской Федерации право на судебную защиту при обращении с соответствующим заявлением в суд общей юрисдикции.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