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«Дорожно-строительная техника и Сервис» обратилось в Арбитражный суд Самарской области с иском, уточненным в порядке статьи 49 Арбитражного процессуального кодекса Российской Федерации, о взыскании с акционерного общества «Страховая компания «Пари» 8 000 000 рублей страховой выплаты и 879 068 рублей 49 копеек процентов за пользование чужими денежными средствами за период с 10.10.2017 по 21.03.2019.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«Ключевые люди», общество с ограниченной ответственностью «ВолгаТранс», общество с ограниченной ответственностью «Рынок спецтехники». Решением Арбитражного суда Самарской области от 26.03.2019 иск удовлетворен в части взыскания 8 000 000 рублей страховой выплаты и 862 301 рубля 37 копеек процентов за пользование чужими денежными средствами, в удовлетворении иска в остальной части отказано. Постановлением Одиннадцатого арбитражного апелляционного суда от 18.06.2019 решение изменено и иск удовлетворен в части взыскания 7 638 000 рублей страховой выплаты и 823 282 рублей 25 копеек процентов за пользование чужими денежными средствами, в удовлетворении иска в остальной части отказано. Арбитражный суд Московского округа постановлением от 16.09.2019 постановление суда апелляционной инстанции оставил без изменения. Акционерное общество «Страховая компания «Пари»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 и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421 , 929 , 942 , 943 , 957 Гражданского кодекса Российской Федерации, статьей 9 Закона Российской Федерации от 27.11.1992 № 4015-1 «Об организации страхового дела в Российской Федерации», положениями пункта 3.2 Правил страхования грузов АО «СК «ПАРИ», суды пришли к выводу о наступлении страхового случая и наличия у истца права требовать от ответчика выплаты страхового возмещения. Разрешая вопрос о подлежащей взысканию сумме страхового возмещения, суд апелляционной инстанции руководствовался пунктом 2 статьи 947 Гражданского кодекса Российской Федерации и исходил из действительной стоимостью груза, определенной договором купли-продажи.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«Страховая компания «Пари»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"ДСТС" (подробнее) Ответчики: АО "Страховая компания "ПАРИ"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