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06.05.2019, оставленным без изменения постановлением Седьмого арбитражного апелляционного суда от 25.06.2019 и постановлением Арбитражного суда Западно-Сибирского округа от 12.08.2019, производство по делу прекращено на основании пункта 4 части 1 статьи 150 Арбитражного процессуального кодекса Российской Федерации. В кассационной жалобе предприниматель просит об отмене указанных судебных актов, ссылаясь на незаконное прекращение производства по делу, нарушившее его права на взыскание судебных расходов и возложившее на него расходы по государственной пошлине.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требование о взыскании неустойки было заявлено изначально и относилось в том числе к услугам за июль 2018 года. В такой ситуации оплату предпринимателем всей заявленной суммы неустойки после предъявления ему иска правомерно оценено как признание долга и за июль 2018 года с возникающими последствиями несения расходов на уплату госпошлины по признанному иску.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Округину Константину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