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04.06.2019, оставленным без изменения постановлением Девятого арбитражного апелляционного суда от 25.07.2019, исковое заявление оставлено без рассмотрения в связи с наличием третейской оговорки и ходатайством ответчика. Арбитражный суд Московского округа постановлением от 17.09.2019 определение от 04.06.2019 и постановление Девятого арбитражного апелляционного суда от 25.07.2019 оставил без изменения. В кассационной жалобе банк просит об отмене указанных судебных актов, ссылаясь на игнорирование наличия в договорах альтернативного порядка рассмотрения споров и права банка на обращение в арбитражный суд в силу статей 247, 249 Арбитражного процессуального кодекса Российской Федерации.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банка о праве на обращение в арбитражный суд в силу статей 247, 249 Арбитражного процессуального кодекса Российской Федерации опровергается наличием соглашений о рассмотрении споров в третейском суде и выраженным ответчиком несогласием с прибеганием банка к компетенции арбитражного суда. Довод банка об альтернативной подсудности обсужден судами и таковая правомерно определена на основании толкования договоров по правилу статьи 431 Гражданского кодекса Российской Федерации и позиции ответчика в пользу третейского разбирательства.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публичного акционерного общества «Банк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