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07.06.2019, оставленным без изменения постановлением Тринадцатого арбитражного апелляционного суда от 08.08.2019, оспариваемое постановление изменено, административный штраф заменен на предупреждение.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судом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обществу вменяется эксплуатация объекта для размещения информации (настенной вывески (дисплей)) в отсутствие соответствующего разрешения уполномоченного органа. Пунктом 2 статьи 16 Закона № 273-70 предусмотрена ответственность за самовольную установка или перемещение объекта для размещения информации без разрешения, выданного уполномоченным Правительством Санкт- Петербурга исполнительным органом государственной власти Санкт- Петербурга, а равно эксплуатация указанных объектов, установленных и (или) перемещенных самовольно, без разрешения, выданного уполномоченным Правительством Санкт-Петербурга исполнительным органом государственной власти Санкт-Петербурга. Оценив представленные доказательства, суды пришли к выводу о наличии в действиях общества состава административного правонарушения, ответственность за которое установлена пунктом 2 статьи 16 Закона № 273-70.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Административным органом, в том числе, исходя из осуществления обществом деятельности и содержания сайта в сети интернет, иного лица, эксплуатирующего спорную конструкцию, при рассмотрении дела об административном производстве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