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12.06.2019, оставленным без изменения постановлением Тринадцатого арбитражного апелляционного суда от 05.09.2019, отказано в удовлетворении ходатайства предпринимателя о разъяснении приятого в порядке упрощенного производства в виде резолютивной части решения Арбитражного суда города Санкт-Петербурга и Ленинградской области от 08.04.2019. В кассационной жалобе предприниматель просит отменить указанные судебные акты, ссылаясь на несоответствие резолютивной части уточненным исковым требованиям.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Несоответствие резолютивной части решения заявленным исковым требованиям не устраняется посредством применения статьи 179 Арбитражного процессуального кодекса Российской Федерации.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