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04.02.2019, оставленным без изменения постановлением Девятого арбитражного апелляционного суда от 24.04.2019 и постановлением Арбитражного суда Московского округа от 13.08.2019, первоначальный иск удовлетворен, в удовлетворении встречного иска отказано. В кассационной жалобе общество просит об отмене судебных актов, ссылаясь на установленный в деле № А40-70830/2018 факт поставки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Установленный в деле № А40-70830/2018 факт поставки товара на согласованную договором от 06.12.2017 № 52-17/ОАЭФ сумму не опровергает претензий поликлиники к товару, явившихся основанием данного иска, удовлетворенного судами исходя из установленных обстоятельств исполнения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«ДИНАСТИЯ 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