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08.02.2019, оставленным без изменения постановлением Девятого арбитражного апелляционного суда от 20.05.2019, в удовлетворении иска отказано. Арбитражный суд Московского округа постановлением от 14.08.2019 решение от 08.02.2019 и постановление Девятого арбитражного апелляционного суда от 20.05.2019 оставил без изменения. В кассационной жалобе общество «Город Дорог» просит об отмене указанных судебных актов как незаконных, ссылаясь на несоответствие выводов судов фактическим обстоятельствам спора.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исследовав обстоятельства спора и представленные сторонами доказательства, установили, что банк произвел удержание комиссии в соответствии с условиями заключенного сторонами договора на расчетно- кассовое обслуживание и Тарифами банка. В такой ситуации в силу статьи 1102 Гражданского кодекса Российской Федерации удержанная банком комиссия обоснованно признана не обладающей признаками неосновательного обогащения.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«Город Дорог»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