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04.10.2018, оставленным без изменения постановлением Четвертого арбитражного апелляционного суда от 27.03.2019 и постановлением Арбитражного суда Восточно-Сибирского округа от 05.08.2019, в удовлетворении иска отказано вследствие отсутствия условий для взыскания убытков. В кассационной жалобе министерство просит о пересмотре указанных судебных актов как незаконных, ссылаясь на документально подтвержденные факты совершения ответчиком противоправных действий и неправильное применение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обстоятельства, касающиеся периода временного ограничения движения, размещения информации о причинах и сроках ограничения движения, установки ограничительных знаков, достоверности сведений, указанных в акте от 17.05.2017 № 25, и не признали подтвержденным вменяемое обществу «Леса Сибири» нарушение, поэтому отказали в применении ответственности.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