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31.01.2019 производство по делу в части требования о взыскании по первоначальному иску задолженности в размере 119 161 рублей 40 копеек прекращено на основании пункта 2 части 1 статьи 150 Арбитражного процессуального кодекса Российской Федерации, с общества «Промхимкомплект» в пользу общества «ВСЕ КРАСКИ» взыскано 16 500 рублей долга, 2 892 рубля 01 копейка процентов; встречный иск удовлетворен. В результате зачета взысканных сумм с общества «ВСЕ КРАСКИ» в пользу общества «Промхимкомплект» взыскано 1 667 рублей 74 копейки. Постановлением Двенадцатого арбитражного апелляционного суда от 17.04.2019 решение от 31.01.2019 отменено в части удовлетворения встречного иска. Постановлением Арбитражного суда Поволжского округа от 09.08.2019 решение от 31.01.2019 и постановление апелляционного суда от 17.04.2019 отменены в части нерассмотрения требования общества «ВСЕ КРАСКИ» о взыскании процентов на сумму долга за период с 12.07.2018 до момента фактического исполнения обязательства, а также в части распределения судебных расходов по апелляционной жалобе общества «ВСЕ КРАСКИ». Дело в отмененной части направлено на новое рассмотрение в Арбитражный суд Волгоградской области. В кассационной жалобе заявитель просит о пересмотре указанных судебных актов как незаконных в части прекращения производства по требованию о взыскании задолженности в размере 119 161 рубля 40 копеек, отказа во взыскании 20 885 рублей процентов, отказа во взыскании процентов на указанную сумму долга за период с 12.07.2018 до момента фактического исполнения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установлено, что ранее в рамках дела № А40-171944/2016 Арбитражного суда города Москвы разрешен спор между теми же лицами, о том же предмете и по тем же основаниям что и в настоящем деле. Фактические обстоятельства (основания иска), которыми обоснован данный иск общества «ВСЕ КРАСКИ» о взыскании задолженности, правомерно признаны судами не изменившимися, а само требование – направленным на недопустимый пересмотр ставшего обязательным в силу статьи 16 Арбитражного процессуального кодекса Российской Федерации судебного акта по делу № А40-171944/2016. Таким образом, прекращение производства по требованию о взыскании задолженности на основании пункта 2 части 1 статьи 150 Кодекса является законным. В связи с прекращением производства по основному требованию суды обоснованно отказали в удовлетворении производного требования о взыскании процентов за пользование чужими денежными средствами.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«ВСЕ КРАСКИ»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