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здания от 07.04.2014, заключенного между должником и обществом с ограниченной ответственностью «Дженсер сервис Ю2», применении последствий недействительности сделки. Определением Арбитражного суда города Москвы от 01.03.2019, оставленным без изменения постановлениями Девятого арбитражного апелляционного суда от 03.06.2019 и Арбитражного суда Московского округа от 13.08.2019,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61.1, 61.2, 61.8, 61.9 Федерального закона от 26.10.2002 № 127-ФЗ «О несостоятельности (банкротстве)», разъяснениями, изложенными в пунктах 4 – 9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оспариваемая сделка совершена более чем за три года до возбуждения дела о банкротстве должника, то есть за пределами периода подозрительности, в связи с чем, она не может быть признана недействительной по специальным (банкротным) основаниям. При этом самим конкурсным управляющим не было доказано наличие у неё пороков, выходящих за пределы дефектов сделок с предпочтением или подозрительных сделок, и как следствие, оснований для применения положений статей 10 и 168 Гражданского кодекса Российской Федерации.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«Дженсер-Липецк» Гулько Наталье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