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11.03.2019, оставленным без изменения постановлением Девятого арбитражного апелляционного суда от 28.05.2019, исковые требования удовлетворены. Арбитражный суд Московского округа постановлением от 16.09.2019 решение от 11.03.2019 и постановление Девятого арбитражного апелляционного суда от 28.05.2019 оставил без изменения. В кассационной жалобе общество «Клан» просит об отмене судебных актов как незаконных, ссылаясь на неправомерность вывода о наличии процессуального правопреемства на стороне истца, исполнение банком недобросовестного требования бенефициара (третьего лица).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об отсутствии правопреемства на стороне истца отклонен в соответствии с пунктом 2 статьи 58 Гражданского кодекса Российской Федерации. Заявленные требования основаны на договоре о предоставлении банковской гарантии от 20.06.2017 № 17777-447-30860, который суд правомерно обязал общество «Клан» исполнить вследствие надлежащего исполнения банком за общество обязательств перед третьим лицом. Возражения общества связаны с исполнением государственного контракта, стороной которого банк не является, поэтому не могут быть обращены против банка.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"БИНБАНК" (подробнее) Ответчики: ООО "Клан"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