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23.06.2019, оставленным без изменения постановлением Тринадцатого арбитражного апелляционного суда от 11.09.2019, оспариваемое постановление изменено, административный штраф заменен на предупреждение.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эксплуатация объекта для размещения информации (настенной вывески) в отсутствие соответствующего разрешения уполномоченного органа. Пунктом 2 статьи 16 Закона № 273-70 предусмотрена ответственность за самовольную установка или перемещение объекта для размещения информации без разрешения, выданного уполномоченным Правительством Санкт- Петербурга исполнительным органом государственной власти Санкт- 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Санкт-Петербурга.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которое установлена пунктом 2 статьи 16 Закона № 273-70.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Административным органом, в том числе, исходя из осуществления обществом деятельности и содержания сайта в сети интернет, иного лица, эксплуатирующего спорную конструкцию, при рассмотрении дела об административном производстве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"Эврика" (подробнее) Ответчики: Комитет по печати и взаимодействию со средствами массовой информации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