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Калининградской области от 24.12.2018, оставленным без изменения постановлением Тринадцатого арбитражного апелляционного суда от 09.04.2019, первоначальный иск удовлетворен, во встречном иске отказано. Арбитражный суд Северо-Западного округа постановлением от 12.08.2019 решение от 24.12.2018 и постановление Тринадцатого арбитражного апелляционного суда от 09.04.2019 оставил без изменения. 2 В кассационной жалобе общество «СОГАЗ» просит об отмене указанных судебных актов, ссылаясь на отсутствие объективных доказательств порчи груза, необходимости его утилизации и оценки представленных ответчиком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кассационной жалобы не усматривается. Суды установили, что условия перевозки согласованы в заявке от 15.09.2017 № 3371 и нарушение их ответчиком признано в двустороннем акте. Обстоятельства нарушения упаковки, температурного режима и срока доставки груза, относящегося к пищевой продукции, установлены судом и не опровергнуты ответчиком. Пределы и основания ответственности общества «Автозападтранс» определены в соответствии со статьей 7 Федерального закона от 30.06.2003 № 87-ФЗ «О транспортно-экспедиционной деятельности», статьями 801, 803, 796 Гражданского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«Страховое общество газовой промышленности»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