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13.03.2019, оставленным без изменения постановлением Девятого арбитражного апелляционного суда от 04.06.2019 и постановлением Арбитражного суда Московского округа от 19.08.2019, иск удовлетворен. В кассационной жалобе общество «ОПИ» просит о пересмотре указанных судебных актов вследствие того, что не нарушало договора, односторонний отказ от исполнения которого предшественником истца является злоупотреблением правом.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на требуемую в иске сумму товар ответчиком не поставлен, поэтому суды правильно признали отсутствие оснований для ее удержания и взыскали в соответствии со статьями 457, 487, 506 Гражданского кодекса Российской Федерации. Приведенные в рассматриваемой жалобе доводы не влияют на исполнение ответчиком обязанности возвратить требуемую денежную сумму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«Объединенная промышленная инициатива»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