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Тюменской области от 28.05.2019, оставленным без изменения постановлением Восьмого арбитражного апелляционного суда от 07.08.2019 и постановлением Арбитражного суда Западно-Сибирского округа от 01.10.2019 в удовлетворении иска отказано. В кассационной жалобе предприниматель просит об отмене указанных судебных актов как незаконных, ссылаясь на присвоение ответчиком бюджетного вознаграждения за фактически выполненные истцом рейсы.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предприятие перечислило причитающиеся за перевозку льготных категорий пассажиров субсидированные из бюджета денежные суммы предпринимателю в согласованном договорами от 28.12.2016 № 138/0-10Р/2016 и от 01.01.2017 № 016/01/2017 размере. Исследовав и оценив представленные доказательства и руководствуясь статьями 779, 781, 790, 1102 Гражданского кодекса Российской Федерации, суды сделали обоснованный вывод об отсутствии на стороне ответчика неосновательного обогащения.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Коробову 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