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04.10.2018, оставленным без изменения постановлением Четвертого арбитражного апелляционного суда от 27.03.2019 и постановлением Арбитражного суда Восточно-Сибирского округа от 05.08.2019, в удовлетворении иска отказано вследствие отсутствия условий для взыскания убытков. В кассационной жалобе министерство просит о пересмотре указанных судебных актов как незаконных, ссылаясь на документально подтвержденный факт совершения ответчиком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обстоятельства, касающиеся периода временного ограничения движения, размещения информации о причинах и сроках ограничения движения, установки ограничительных знаков, достоверности указанных в акте от 04.05.2017 № 19 сведений, не признали подтвержденным вменяемое обществу «Сильван» нарушение, поэтому отказали в применении ответственности за него.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