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11.01.2019, оставленным без изменения постановлением Семнадцатого арбитражного апелляционного суда от 29.03.2019, взыскано 7 728 957 рублей убытков и 168 078 рублей 35 копеек процентов. Арбитражный суд Уральского округа постановлением от 07.08.2019 решение от 11.01.2019 и постановление Семнадцатого арбитражного апелляционного суда от 29.03.2019 оставил без изменения. В кассационной жалобе акционерное общество «ОДК-Пермские моторы» просит об отмене указанных судебных актов как незаконных, ссылаясь на несоответствие договору страхования произведенной выплаты и отсутствие права на суброгацию, неустановление противоправных действий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заявителя, связанные со страховыми правоотношениями, неосновательны, поскольку взыскиваются убытки, ответственным за которые является общество «ОДК-Пермские моторы» (статья 965 Гражданского кодекса Российской Федерации. Общество «ОДК-Пермские моторы» признано ответственным за убытки лицом вследствие того, что является изготовителем двигателя, в связи с поломкой которого возникли заявленные расходы.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«ОДК-Пермские моторы»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"СТРАХОВОЕ ОБЩЕСТВО ГАЗОВОЙ ПРОМЫШЛЕННОСТИ" (подробнее) Ответчики: АО "ОДК-Пермские моторы"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