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25.06.2019, оставленным без изменения постановлением Тринадцатого арбитражного апелляционного суда от 11.09.2019, в удовлетворении заявленного требования отказано.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судом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обществу вменяется эксплуатация объекта для размещения информации (настенной вывески) в отсутствие соответствующего разрешения уполномоченного органа. Пунктом 2 статьи 16 Закона № 273-70 предусмотрена ответственность за самовольную установка или перемещение объекта для размещения информации без разрешения, выданного уполномоченным Правительством Санкт- Петербурга исполнительным органом государственной власти Санкт- Петербурга, а равно эксплуатация указанных объектов, установленных и (или) перемещенных самовольно, без разрешения, выданного уполномоченным Правительством Санкт-Петербурга исполнительным органом государственной власти Санкт-Петербурга. Оценив представленные доказательства, суды пришли к выводу о наличии в действиях общества состава административного правонарушения, ответственность за которое установлена пунктом 2 статьи 16 Закона № 273-70.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Административным органом, в том числе, исходя из осуществления обществом деятельности и содержания сайта в сети интернет, иного лица, эксплуатирующего спорную конструкцию, при рассмотрении дела об административном производстве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"ЭВРИКАл" (подробнее) Ответчики: Комитет по печати со средствами массовой информации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