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05.02.2019, оставленным без изменения постановлением Восемнадцатого арбитражного апелляционного суда от 07.05.2019, в удовлетворении иска отказано. Арбитражный суд Уральского округа постановлением от 08.08.2019 решение от 05.02.2019 и постановление Восемнадцатого арбитражного апелляционного суда от 07.05.2019 оставил без изменения. В кассационной жалобе общество «Санас» просит об отмене указанных судебных актов как незаконных вследствие неполного исследования обстоятельств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спорной ситуации стороны на равных условиях участвовали в аукционах, контракты по итогу которых заключены с истцом. Таким образом, наличие условий, необходимых в силу статей 15, 1064 Гражданского кодекса Российской Федерации для взыскания с ответчика неполученных вследствие исполнения контрактов доходов в качестве убытков правомерно не признано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«Санас»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