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07.11.2018 в удовлетворении иска отказано. Второй арбитражный апелляционный суд постановлением от 16.04.2019 отменил решение от 07.11.2018 и взыскал 376 336 рублей 04 копейки неосновательного обогащения, 5 076 рублей 39 копеек процентов за пользование чужими денежными средствами за период с 16.03.2018 по 16.05.2018 и проценты за пользование чужими денежными средствами за период с 17.05.2018 по дату фактической оплаты долга исходя из действующей в соответствующие периоды ключевой ставки Банка России. 2 Арбитражный суд Волго-Вятского округа постановлением от 07.08.2019 постановление Второго арбитражного апелляционного суда от 16.04.2019 оставил без изменения. В кассационной жалобе общество «Виктория» просит об отмене судебных актов апелляционного и окружного судов вследствие нарушения норм процессуального и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«Виктория» дважды получило причитающуюся по исполнительному листу, выданному в деле № А17-1831/2017, денежную сумму вследствие действий банка и было уведомлено банком о необходимости возврата ему денежной суммы. Сделанные после получения от банка указанных сведений заявления контрагенту о зачете денежных сумм в спорном размере в счет исполнения взаимных обязательств правомерно не признаны апелляционным судом прекратившими обязательство общества «Виктория» по возврату банку неосновательно полученной денежной суммы в заявленном размере.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«Виктория»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