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07.02.2019, оставленным без изменения постановлением Третьего арбитражного апелляционного суда от 22.04.2019 и постановлением Арбитражного суда Восточно-Сибирского округа от 28.08.2019, взыскано 1 653 426 рублей задолженности, 97 890 рублей 52 копейки процентов за пользование чужими денежными средствами, 69 923 рубля судебных расходов. В кассационной жалобе компания просит отменить судебные акты, указывая на расторжение договора с 01.12.2017 и принятие после него услуг неуполномоченным от имени компании лицом, игнорирование основания для оставления иска без рассмотрения и заявленной неразумности размера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Признавая заявленные требования обоснованными и подлежащими удовлетворению на основании статей 309 , 310 , 395 , 779 , 781 Гражданского кодекса Российской Федерации, суды руководствовались установленными обстоятельствами фактического оказания услуг во исполнение договора от 21.10.2016 № 25 на спорную сумму и принятия их компетентным от имени компании лицом. В отношении судебных расходов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Вопрос о досудебном порядке урегулирования спора на стадии кассационного производства не обсуждается.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«Эксплуатирующая компания-Енисей»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Частное охранное предприятие "Альфа" (подробнее) Ответчики: ООО "ЭКСПЛУАТИРУЮЩАЯ КОМПАНИЯ - ЕНИСЕЙ"" (подробнее) Иные лица: 3ААС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