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12.02.2019, оставленным без изменения постановлением Четырнадцатого арбитражного апелляционного суда от 12.04.2019 и постановлением Арбитражного суда Северо-Западного округа от 12.08.2019, исковые требования удовлетворены частично. В кассационной жалобе общество «ИнТех Монолит» просит о пересмотре судебных актов, ссылаясь на определение фактическими действиями по исполнению договора валютного курса и осведомленность истца об оплате в счет несуществующего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установленной договором от 01.09.2014 № ИМ-25/092014 цены на товар в евро суды правомерно применили к расчетам за товар правило пункта 2 статьи 317 Гражданского кодекса Российской Федерации. Признание излишне уплаченных за товар денежных средств не подлежащими возврату по правилу пункта 4 статьи 1109 Гражданского кодекса Российской Федерации при наличии договора недопустимо.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«ИнТех Монолит»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