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26.02.2019, оставленным без изменения постановлением Девятнадцатого арбитражного апелляционного суда от 07.06.2019, иск удовлетворен. Арбитражный суд Центрального округа постановлением от 18.09.2019 решение от 26.02.2019 и постановление Девятнадцатого арбитражного апелляционного суда от 07.06.2019 оставил без изменения. В кассационной жалобе банк просит о пересмотре указанных судебных актов как незаконных вследствие отсутствия основания для отказа в проведении платежа и возникновения убытков из-за несоблюдения клиентом рекомендаций по обеспечению информационной безопасности.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по доводами жалобы не усматривается. Суды, исследовав и оценив представленные доказательства и доводы сторон, признали наличие условий для взыскания убытков вследствие нарушения банком при проведении спорной операции договора банковского счета. Суды установили, что истец указал надлежащих получателя суммы и реквизиты в электронном поручении и перечисление спорной суммы другому лицу не связано с его действиями. В такой ситуации убытки взысканы с банка в соответствии со статьями 15, 393, пунктом 3 статьи 401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