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11.03.2019, оставленным без изменения постановлением Пятнадцатого арбитражного апелляционного суда от 18.05.2019, в удовлетворении иска отказано вследствие надлежащего исполнения ответчиком обязательства по возврату денежных средств. Арбитражный суд Северо-Кавказского округа постановлением от 21.08.2019 решение от 11.03.2019 и постановление Пятнадцатого арбитражного апелляционного суда от 18.05.2019 оставил без изменения. В кассационной жалобе предприниматель просит об отмене указанных судебных актов как основанных на ненадлежащих доказательствах.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и оценив представленные сторонами доказательства, руководствуясь статьями 807 , 809 , 810 Гражданского кодекса Российской Федерации, суды установили исполнение ответчиком обязательства по возврату заемных денежных средств. Возражения истца о несоответствии представленных ответчиком расходных кассовых ордеров установленным требованиям законодательства были предметом рассмотрения судов и им дана оценка, не подлежащая пересмотру в порядке кассационного производства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ООО "Партнер"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