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24.10.2018, оставленным без изменения постановлением Двадцатого арбитражного апелляционного суда от 24.04.2019 и постановлением Арбитражного суда Центрального округа от 02.08.2019, иск удовлетворен в полном объеме. В кассационной жалобе общество «АвтоСтар» просит изменить мотивировочные части судебных актов, ссылаясь на возможное влияние выводов судов на имеющиеся в производстве Арбитражного суда Тульской области другие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Доводы рассматриваемой кассационной жалобы не составляют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«АвтоСтар»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"АвтоСтар" (подробнее) ООО Представитель "АвтоСтар" Соломатин Р.А. (подробнее) Ответчики: ООО "Автовокзалы и автостанции Тульской области" (подробнее) Иные лица: Соломатин Роман Александрович (представитель)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