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10.04.2019, оставленным без изменения постановлением Девятого арбитражного апелляционного суда от 16.07.2019 и постановлением Арбитражного суда Московского округа от 25.09.2019, заявление удовлетворено в части взыскания 6 000 рублей расходов по оплате государственной пошлины, 1 794 рублей почтовых расходов; во взыскании 488 000 рублей расходов по оплате услуг представителя отказано как не подтвержденных надлежащими доказательствами. В кассационной жалобе общество «Спецавтогруз» просит об отмене судебных актов в отношении невзысканной части судебных расходов вследствие неосновательного непринятия в качестве доказательств несения расходов расписок и актов приема-передачи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Оценка представленных заявителем доказательств несения расходов на услуги представителей дана судами в пределах компетенции и требуемое в жалобе ее изменение не составляет указанных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«Спецавтогруз»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