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«Банк «Югра» обратилось в Арбитражный суд города Москвы с иском о взыскании с общества с ограниченной ответственностью «Автомир» 1 354 912 705 рублей 39 копеек задолженности по кредитному договору от 11.02.2015 № 021/КЛ-15, в том числе 775 000 000 рублей основного долга, 116 299 887 рублей 69 копеек процентов за пользование кредитом, 463 612 817 рублей 70 копеек неустойки за неисполнение обязательства по кредитному договору. Решением Арбитражного суда города Москвы от 27.12.2018 иск удовлетворен. Постановлением Девятого арбитражного апелляционного суда от 04.04.2019 решение суда первой инстанции изменено в части взыскания неустойки и неустойка взыскана в сумме 309 075 211 рублей 80 копеек; в удовлетворении требования о взыскании неустойки в остальной части отказано; в остальной части решение суда первой инстанции оставлено без изменения. 2 Арбитражный суд Московского округа постановлением от 02.09.2019 постановление суда апелляционной инстанции оставил без изменения. Общество с ограниченной ответственностью «Автомир» обратилось в Судебную коллегию Верховного Суда Российской Федерации с кассационной жалобой на принятые по делу судебные акты в части взыскания неустойки и применения судами статьи 333 Гражданского кодекса Российской Федерации,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банк надлежащим образом исполнил свое обязательство по кредитному договору по предоставлению заемщику денежных средств, тогда как ответчиком обязательства по кредитному договору надлежащим образом не исполнены, руководствуясь положениями статей 329, 330, 421, 807, 808 Гражданского кодекса Российской Федерации, суд первой инстанции пришел к выводу об обоснованности иска, не усмотрев оснований для применения положений статьи 333 Гражданского кодекса Российской Федерации. Суд апелляционной инстанции с выводами суда первой инстанции в части размера взыскиваемой неустойки не согласился и, руководствуясь положениями статьи 333 Гражданского кодекса Российской Федерации, разъяснениями, содержащимися в пунктах 69, 73-75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учитывая конкретные обстоятельства дела и последствия нарушения обязательства, снизил размер подлежащей взысканию неустойки. 3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согласился с выводами суда апелляционной инстанции о применении статьи 333 Гражданского кодекса Российской Федерации и снижении размера неустойки.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«Автомир»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