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29.01.2019, оставленным без изменения Девятнадцатого арбитражного апелляционного суда от 07.05.2019, в удовлетворении заявленного требования отказано. Постановлением Арбитражного суда Центрального округа от 28.08.2019 указанные судебные акты оставлены без изменения. Третье лицо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судами существенные нарушения норм материального и процессуального права. Отказывая в удовлетворении требования, суды исходили из того, что административным органом не представлено доказательств вины генерального директора общества в совершении вменяемого правонарушения, а именно того, что он не предпринял всех установленных законом мер для исполнения своей обязанности, и у него имелась объективная возможность получить в установленные сроки соответствующие гарантии с учетом финансового положения общества. При этом приведенные в жалобе доводы не могут быть признаны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статьи 4.5 и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Верхне-Донское управление Федеральной службы по экологическому, технологическому и атомному надзору (подробнее) Ответчики: ООО Козко Н. П., генеральный директор "Святогор"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