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08.02.2019, оставленным без изменения постановлением Шестого арбитражного апелляционного суда от 30.05.2019 и постановлением Арбитражного суда Дальневосточного округа от 27.08.2019,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195 , 196 , 199 , 200 , 486 , 516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пришли к выводу об отсутствии оснований для удовлетворения иска ввиду пропуска предпринимателем срока исковой давности, о чем было заявлено ответчиком.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Плотников Владимир Николаевич (подробнее) Ответчики: Администрация города Сковородино (подробнее) Иные лица: Межрайонная ИФНС России №1 по Амурской области (подробнее) Шестой арбитражный апелляционный суд(9007/18-1т, 9022/17-1т)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