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21.01.2019 с компании в пользу общества взыскано 7 780 795 руб. 39 коп. аванса, 2 223 752 руб. 34 коп. неустойки, в удовлетворении остальной части исковых требований отказано. Постановлением Восьмого арбитражного апелляционного суда от 20.05.2019 решение суда первой инстанции отменено, в удовлетворении исковых требований отказано. Постановлением Арбитражного суда Западно-Сибирского округа от 23.08.2019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329 , 330 , 453 , 711 , 753 , 1102 Гражданского кодекса Российской Федерации, суд апелляционной инстанции пришел к выводу об отсутствии оснований для удовлетворения исковых требований, исходя из доказанности факта выполнения компанией работ на сумму перечисленного обществом аванса до момента отказа последнего от исполнения договоров субподряда от 23.08.2017 № 102, № 103, от 25.09.2017 № 112 и неподтвержденности нарушения компанией срока выполнения работ. С указанными выводами впоследствии согласился суд округа.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«СМУ «Тюменьоблстрой»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"СМУ "Тюменьоблстрой" (подробнее) Ответчики: ООО "Строительная Компания"Олди"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