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03.12.2018, оставленным без изменения постановлением Восьмого арбитражного апелляционного суда от 09.04.2019 и постановлением Арбитражного суда Западно-Сибирского округа от 27.08.2019, первоначальные и встречные исковые требования удовлетворены. В кассационной жалобе, общество, ссылаясь на нарушение судами норм права, просит отменить указанные судебные акты в части удовлетворения встречного иска и направить дело в указанной части на новое рассмотрение в Арбитражный суд Ямало-Ненецкого автономного округа.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329 , 330 , 421 Гражданского кодекса Российской Федерации, установив факт нарушения обществом сроков поставки продукции, пришли к выводу о наличии оснований для привлечения его к договорной ответственности в виде взыскания неустойки. Проверив и признав верным представленный компанией расчет неустойки, не установив оснований для применения статьи 333 Гражданского кодекса Российской Федерации ввиду отсутствия доказательств явной несоразмерности неустойки последствиям нарушения обязательства, суды удовлетворили встречный иск.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«Неразрушающий контроль»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"Неразрушающий Контроль" (подробнее) Ответчики: ООО "Пурнефтепереработка" (подробнее) Иные лица: Железнодорожный районный суд г. Екатеринбург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