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«ВЭТЕРРА» (далее – общество) обратилось в суд с заявлением о признании должника несостоятельным (банкротом), а Николаев В.С. – с ходатайством о замене общества на себя в порядке процессуального правопреемства. Определением Арбитражного суда города Москвы от 27.03.2019, оставленным без изменения постановлениями Девятого арбитражного апелляционного суда от 10.06.2019 и Арбитражного суда Московского округа от 11.09.2019, в порядке процессуального правопреемства произведена замена общества на его правопреемника Николаева В.С., заявление последнего признано необоснованным и оставлено без рассмотрения; во введении наблюдения в отношении должника отказано. В кассационной жалобе, поданной в Верховный Суд Российской Федерации, заявитель просит отменить указанные судебные акты в части признания заявления необоснованным и оставления его без рассмотрения, а также отказа во введении в отношении должника процедуры наблюдения.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оставляя заявление без рассмотрения, суд первой инстанции руководствовался статьями 4, 7, 9, 19, 48 Федерального закона от 26.10.2002 № 127-ФЗ «О несостоятельности (банкротстве)» и исходил из того, что заявленное требование, несмотря на наличие вступившего в законную силу судебного акта, не является требованием, вытекающим из заёмных правоотношений, направлено на докапитализацию бизнеса, в связи с чем, не подлежит учёту для определения признаков банкротства должника. Суды апелляционной инстанции и округа согласились с данными выводами, указав, что приобретение заявителем права требования к должнику не изменяет его корпоративный характер, поскольку иное позволяло бы получать удовлетворение подобного требования в приоритетном порядке в ущерб интересам независимых кредиторов, чьи требования не имеют корпоративной природы.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Николаеву Виталию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