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29.03.2019, оставленным без изменения постановлением Девятого арбитражного апелляционного суда от 13.08.2019, исковые требования удовлетворены. В кассационной жалобе, поданной в Верховный Суд Российской Федерации, предприниматель, ссылаясь на нарушение судами норм процессуального права, просит отменить указанные судебные акты и направить дело на новое рассмотрение в Арбитражный суд города Москвы.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309 , 310 , 330 , 454 , 486 , 506 , 516 Гражданского кодекса Российской Федерации, установив факт поставки обществом товара на спорную сумму и неисполнения предпринимателем обязанности по его оплате, пришли к выводу о наличии оснований для удовлетворения исковых требований. Доводы заявителя о его ненадлежащем извещении в суде первой инстанции, о несоблюдении истцом претензионного порядка урегулирования спора были предметом рассмотрения суда апелляционной инстанции и получили правовую оценку. Довод жалобы о необходимости уменьшения размера неустойки подлежит отклонению, поскольку при рассмотрении дела в суде первой инстанции предприниматель ходатайство о применении положений статьи 333 Гражданского кодекса Российской Федерации не заявлял. Изложенные в кассационной жалобе доводы не опровергают выводы судов и не подтверждают существенных нарушений судами норм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Судьи дела: Чучунова Н.С. (судья) (подробнее) Судебная практика по: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