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Бортник Евгений Арнольдович обратился в суд с заявлением о разрешении возникших между ним и залоговым кредитором Волковой О.В. разногласий, касающихся утверждения положения о порядке и условиях проведения торгов по продаже недвижимого имущества должника и прав на него, как являющегося, так и не являющегося предметом залога (далее – положение). Определением Арбитражного суда Свердловской области от 23.04.2019, оставленным без изменения постановлениями Семнадцатого арбитражного апелляционного суда от 05.07.2019 и Арбитражного суда Уральского округа от 05.09.2019, утверждено положение в редакции, предложенной Бортником Е.А.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138 Федерального закона от 26.10.2002 № 127-ФЗ «О несостоятельности (банкротстве)», позицией изложенной в постановлении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исходя из конструктивных особенностей рассматриваемого имущества должника, признали соответствие предоставленного Бортником Е.А. варианта положения о продаже имущества одним лотом требованиям законодательства и целям процедуры банкротства, указав, что данное положение закрепляет раздельный режим реализации имущества в случае несостоятельности варианта продажи единым лотом.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Волковой Олесе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