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05.06.2019, оставленным без изменения постановлением Десятого арбитражного апелляционного суда от 06.08.2019, с учреждения в пользу общества взыскано 307 920 руб. 72 коп. пеней, в удовлетворении остальной части иска отказано. В кассационной жалобе, поданной в Верховный Суд Российской Федерации, учреждение, ссылаясь на нарушение судами норм материального права,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Исковые требования мотивированы несвоевременным исполнением учреждением обязательств по оплате работ, выполненных обществом в рамках заключенного сторонами государственного контракта от 25.12.2017 № 0348200081017000405.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193 , 309 , 310 , 329 , 330 , 702 , 708 , 711 , 720 , 753 Гражданского кодекса Российской Федерации, установив факт просрочки исполнения учреждением обязательств по оплате, суды первой и апелляционной инстанций признали обоснованным начисление обществом пеней. Проверив расчет пеней и скорректировав период их начисления, не установив оснований для применения статьи 333 Гражданского кодекса Российской Федерации, суды удовлетворили иск частично. Доводы кассационной жалобы не опровергают выводы судов, направлены на переоценку обстоятельств дела, установленных судами, и не подтверждают существенных нарушений судами норм материального и процессуального права, повлиявших на исход дела.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государственного казенного учреждения Московской области «Дирекция единого заказчика» Министерства здравоохранения Московской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"АЙТИ МОНТАЖ" (подробнее) Ответчики: ГОСУДАРСТВЕННОЕ КАЗЕННОЕ УЧРЕЖДЕНИЕ МОСКОВСКОЙ ОБЛАСТИ "ДИРЕКЦИЯ ЕДИНОГО ЗАКАЗЧИКА МИНИСТЕРСТВА ЗДРАВООХРАНЕНИЯ МОСКОВСКОЙ ОБЛАСТИ" (подробнее) Судьи дела: Чучунова Н.С. (судья) (подробнее) Судебная практика по: По договору подряда Судебная практика по применению норм ст. 702, 703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