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19.03.2019, оставленным без изменения постановлением Двенадцатого арбитражного апелляционного суда от 05.06.2019 и постановлением Арбитражного суда Поволжского округа от 26.09.2019, исковые требования удовлетворены.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Арбитражный суд Волгоградской области в ином составе судей.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Требования предпринимателя (арендодателя) мотивированы ненадлежащим исполнением обществом (арендатором) обязательств по уплате арендных платежей в рамках договора аренды транспортных средств от 01.01.2017 № 2.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395 , 431 , 614 , 625 , 642 Гражданского кодекса Российской Федерации, разъяснениями, приведенными в пункте 48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установив факт неисполнения обществом обязательств по внесению арендных платежей в спорный период, проверив и признав верным представленный предпринимателем расчет задолженности и процентов, пришли к выводу о наличии оснований для удовлетворения исковых требований.С указанными выводами впоследствии согласился суд округа. Доводы кассационной жалобы, в том числе о несогласии с заключением судебной экспертизы,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«Волгоградская неотложка»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ООО "ВОЛГОГРАДСКАЯ НЕОТЛОЖКА"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