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Балашова Инна Владимировна обратилась в суд с заявлением о признании недействительными сделок по перечислению с расчётного счёта должника в пользу Мельгуновой И.Ю. за период с 17.06.2014 по 20.09.2015 денежных средств в размере 2 197 553 рубля 31 копейка; применении последствий недействительности сделок в виде возврата денежных средств в конкурсную массу должника. Определением Арбитражного суда Воронежской области от 03.04.2019, оставленным без изменения постановлениями Девятнадцатого арбитражного апелляционного суда от 11.06.2019 и Арбитражного суда Центрального округа от 04.09.2019, заявление удовлетворено частично. В кассационной жалобе, поданной в Верховный Суд Российской Федерации, заявитель просит отменить указанные судебные акты в части удовлетворения требований конкурсного управляющего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19, 61.1, 61.2, 61.6, 61.8, 61.9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сделок, часть из которых приходилась на период подозрительности, в пользу заинтересованного лица (руководителя и участника должника), при наличии неисполненных обязательств перед иными лицами с целью причинения вреда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Мельгуновой Ирине Юрьевне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