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муниципального имущества администрации Волгограда обратился в Арбитражный суд Волгоградской области с исковым заявлением к индивидуальному предпринимателю ФИО1 (далее – предприниматель) о взыскании 177 990 руб. 54 коп. задолженности по договору аренды от 04.02.2005 № 5675 и 52 654 руб. 63 коп. неустойки. Арбитражный суд Волгоградской области, рассмотрев дело в порядке упрощенного производства, решением от 21.12.2018 удовлетворил исковые требования. Определением Двенадцатого арбитражного апелляционного суда от 12.03.2019 апелляционная жалоба предпринимателя возвращена на основании пункта 3 части 1 статьи 264 Арбитражного процессуального кодекса Российской Федерации. Предприниматель обратился в Арбитражный суд Поволжского округа с кассационной жалобой на решение суда первой инстанции, заявив ходатайство о восстановлении пропущенного процессуального срока. Арбитражный суд Поволжского округа определением от 22.07.2019, оставленным без изменения определением того же суда от 26.08.2019, возвратил кассационную жалобу заявителя на основании пункта 2 части 1 статьи 281 Арбитражного процессуального кодекса Российской Федерации в связи с пропуском срока подачи и отказом в удовлетворении ходатайства о его восстановлении. В кассационной жалобе, поданной в Верховный Суд Российской Федерации, предприниматель, ссылаясь на нарушение судом округа норм права, просит отменить указанные определения.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кассационную жалобу, суд округа руководствовался положениями статей 9 , 117 , 121 , 123 , 273 , 276 , 281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25.12.2013 № 99 «О процессуальных сроках», и исходил из того, что приведенные заявителем причины пропуска срока не являются уважительными. С указанными выводами согласился арбитражный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не опровергают выводы суда и не подтверждают существенных нарушений норм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